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A662" w14:textId="77777777" w:rsidR="00FD13E4" w:rsidRDefault="00FD13E4" w:rsidP="00FD13E4">
      <w:pPr>
        <w:spacing w:after="0" w:line="240" w:lineRule="auto"/>
        <w:jc w:val="both"/>
        <w:rPr>
          <w:rFonts w:ascii="Times New Roman" w:eastAsia="Arial Unicode MS" w:hAnsi="Times New Roman" w:cs="Times New Roman"/>
          <w:b/>
          <w:sz w:val="24"/>
          <w:szCs w:val="24"/>
          <w:u w:val="single"/>
          <w:lang w:eastAsia="lv-LV"/>
        </w:rPr>
      </w:pPr>
    </w:p>
    <w:p w14:paraId="5108F5CA" w14:textId="77777777" w:rsidR="00FD13E4" w:rsidRPr="00FD13E4" w:rsidRDefault="00FD13E4" w:rsidP="00FD13E4">
      <w:pPr>
        <w:spacing w:after="120" w:line="240" w:lineRule="auto"/>
        <w:rPr>
          <w:rFonts w:ascii="Times New Roman" w:eastAsia="Times New Roman" w:hAnsi="Times New Roman" w:cs="Times New Roman"/>
          <w:sz w:val="44"/>
          <w:szCs w:val="44"/>
          <w:lang w:eastAsia="lv-LV"/>
        </w:rPr>
      </w:pPr>
      <w:r w:rsidRPr="00FD13E4">
        <w:rPr>
          <w:rFonts w:ascii="Calibri" w:eastAsia="Calibri" w:hAnsi="Calibri" w:cs="Times New Roman"/>
          <w:noProof/>
        </w:rPr>
        <w:drawing>
          <wp:anchor distT="0" distB="0" distL="114300" distR="114300" simplePos="0" relativeHeight="251659264" behindDoc="1" locked="0" layoutInCell="1" allowOverlap="1" wp14:anchorId="38D933E1" wp14:editId="7FA80684">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FD13E4">
        <w:rPr>
          <w:rFonts w:ascii="Times New Roman" w:eastAsia="Times New Roman" w:hAnsi="Times New Roman" w:cs="Times New Roman"/>
          <w:b/>
          <w:sz w:val="44"/>
          <w:szCs w:val="44"/>
          <w:lang w:eastAsia="lv-LV"/>
        </w:rPr>
        <w:t>MADONAS NOVADA PAŠVALDĪBA</w:t>
      </w:r>
    </w:p>
    <w:p w14:paraId="5FCA3640" w14:textId="77777777" w:rsidR="00FD13E4" w:rsidRPr="00FD13E4" w:rsidRDefault="00FD13E4" w:rsidP="00FD13E4">
      <w:pPr>
        <w:spacing w:before="120" w:after="120" w:line="240" w:lineRule="auto"/>
        <w:jc w:val="center"/>
        <w:rPr>
          <w:rFonts w:ascii="Times New Roman" w:eastAsia="Times New Roman" w:hAnsi="Times New Roman" w:cs="Arial Unicode MS"/>
          <w:spacing w:val="20"/>
          <w:sz w:val="24"/>
          <w:szCs w:val="24"/>
          <w:lang w:eastAsia="lv-LV" w:bidi="lo-LA"/>
        </w:rPr>
      </w:pPr>
    </w:p>
    <w:p w14:paraId="6B902D5C" w14:textId="77777777" w:rsidR="00FD13E4" w:rsidRPr="00FD13E4" w:rsidRDefault="00FD13E4" w:rsidP="00FD13E4">
      <w:pPr>
        <w:spacing w:before="120" w:after="0" w:line="240" w:lineRule="auto"/>
        <w:jc w:val="center"/>
        <w:rPr>
          <w:rFonts w:ascii="Times New Roman" w:eastAsia="Times New Roman" w:hAnsi="Times New Roman" w:cs="Times New Roman"/>
          <w:spacing w:val="20"/>
          <w:sz w:val="24"/>
          <w:szCs w:val="24"/>
          <w:lang w:eastAsia="lv-LV" w:bidi="lo-LA"/>
        </w:rPr>
      </w:pPr>
      <w:r w:rsidRPr="00FD13E4">
        <w:rPr>
          <w:rFonts w:ascii="Times New Roman" w:eastAsia="Times New Roman" w:hAnsi="Times New Roman" w:cs="Times New Roman"/>
          <w:spacing w:val="20"/>
          <w:sz w:val="24"/>
          <w:szCs w:val="24"/>
          <w:lang w:eastAsia="lv-LV" w:bidi="lo-LA"/>
        </w:rPr>
        <w:t>Reģ. Nr. 90000054572</w:t>
      </w:r>
    </w:p>
    <w:p w14:paraId="152902C8" w14:textId="77777777" w:rsidR="00FD13E4" w:rsidRPr="00FD13E4" w:rsidRDefault="00FD13E4" w:rsidP="00FD13E4">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FD13E4">
        <w:rPr>
          <w:rFonts w:ascii="Times New Roman" w:eastAsia="Calibri" w:hAnsi="Times New Roman" w:cs="Times New Roman"/>
          <w:spacing w:val="20"/>
          <w:sz w:val="24"/>
          <w:szCs w:val="24"/>
          <w:lang w:eastAsia="lv-LV"/>
        </w:rPr>
        <w:t>Saieta laukums 1, Madona, Madonas novads, LV-4801</w:t>
      </w:r>
    </w:p>
    <w:p w14:paraId="615C7CE9" w14:textId="77777777" w:rsidR="00FD13E4" w:rsidRPr="00FD13E4" w:rsidRDefault="00FD13E4" w:rsidP="00FD13E4">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FD13E4">
        <w:rPr>
          <w:rFonts w:ascii="Times New Roman" w:eastAsia="Calibri" w:hAnsi="Times New Roman" w:cs="Times New Roman"/>
          <w:sz w:val="24"/>
          <w:szCs w:val="24"/>
          <w:lang w:eastAsia="lv-LV"/>
        </w:rPr>
        <w:t xml:space="preserve"> t. 64860090, e-pasts: pasts@madona.lv </w:t>
      </w:r>
    </w:p>
    <w:p w14:paraId="3430D0B6" w14:textId="77777777" w:rsidR="00FD13E4" w:rsidRPr="00FD13E4" w:rsidRDefault="00FD13E4" w:rsidP="00FD13E4">
      <w:pPr>
        <w:spacing w:after="0" w:line="240" w:lineRule="auto"/>
        <w:jc w:val="center"/>
        <w:rPr>
          <w:rFonts w:ascii="Times New Roman" w:eastAsia="Times New Roman" w:hAnsi="Times New Roman" w:cs="Arial Unicode MS"/>
          <w:b/>
          <w:bCs/>
          <w:caps/>
          <w:sz w:val="24"/>
          <w:szCs w:val="24"/>
          <w:lang w:eastAsia="lv-LV" w:bidi="lo-LA"/>
        </w:rPr>
      </w:pPr>
      <w:r w:rsidRPr="00FD13E4">
        <w:rPr>
          <w:rFonts w:ascii="Times New Roman" w:eastAsia="Times New Roman" w:hAnsi="Times New Roman" w:cs="Arial Unicode MS"/>
          <w:b/>
          <w:bCs/>
          <w:caps/>
          <w:sz w:val="24"/>
          <w:szCs w:val="24"/>
          <w:lang w:eastAsia="lv-LV" w:bidi="lo-LA"/>
        </w:rPr>
        <w:t>__________________________________________________________________________</w:t>
      </w:r>
    </w:p>
    <w:p w14:paraId="4FC39655" w14:textId="77777777" w:rsidR="00FD13E4" w:rsidRPr="00FD13E4" w:rsidRDefault="00FD13E4" w:rsidP="00FD13E4">
      <w:pPr>
        <w:spacing w:after="0" w:line="240" w:lineRule="auto"/>
        <w:rPr>
          <w:rFonts w:ascii="Times New Roman" w:eastAsia="Times New Roman" w:hAnsi="Times New Roman" w:cs="Times New Roman"/>
          <w:sz w:val="24"/>
          <w:szCs w:val="24"/>
          <w:lang w:eastAsia="lv-LV"/>
        </w:rPr>
      </w:pPr>
    </w:p>
    <w:p w14:paraId="1D6B07E8" w14:textId="77777777" w:rsidR="00FD13E4" w:rsidRPr="00FD13E4" w:rsidRDefault="00FD13E4" w:rsidP="00FD13E4">
      <w:pPr>
        <w:spacing w:after="0" w:line="240" w:lineRule="auto"/>
        <w:jc w:val="center"/>
        <w:rPr>
          <w:rFonts w:ascii="Times New Roman" w:eastAsia="Times New Roman" w:hAnsi="Times New Roman" w:cs="Times New Roman"/>
          <w:b/>
          <w:bCs/>
          <w:caps/>
          <w:sz w:val="24"/>
          <w:szCs w:val="24"/>
          <w:lang w:eastAsia="lv-LV" w:bidi="lo-LA"/>
        </w:rPr>
      </w:pPr>
      <w:r w:rsidRPr="00FD13E4">
        <w:rPr>
          <w:rFonts w:ascii="Times New Roman" w:eastAsia="Times New Roman" w:hAnsi="Times New Roman" w:cs="Times New Roman"/>
          <w:b/>
          <w:bCs/>
          <w:caps/>
          <w:sz w:val="24"/>
          <w:szCs w:val="24"/>
          <w:lang w:eastAsia="lv-LV" w:bidi="lo-LA"/>
        </w:rPr>
        <w:t>MADONAS NOVADA PAŠVALDĪBAS DOMES</w:t>
      </w:r>
    </w:p>
    <w:p w14:paraId="2E1B1EA2" w14:textId="77777777" w:rsidR="00FD13E4" w:rsidRPr="00FD13E4" w:rsidRDefault="00FD13E4" w:rsidP="00FD13E4">
      <w:pPr>
        <w:spacing w:after="0" w:line="240" w:lineRule="auto"/>
        <w:jc w:val="center"/>
        <w:rPr>
          <w:rFonts w:ascii="Times New Roman" w:eastAsia="Times New Roman" w:hAnsi="Times New Roman" w:cs="Times New Roman"/>
          <w:b/>
          <w:bCs/>
          <w:caps/>
          <w:sz w:val="24"/>
          <w:szCs w:val="24"/>
          <w:lang w:eastAsia="lv-LV" w:bidi="lo-LA"/>
        </w:rPr>
      </w:pPr>
      <w:r w:rsidRPr="00FD13E4">
        <w:rPr>
          <w:rFonts w:ascii="Times New Roman" w:eastAsia="Times New Roman" w:hAnsi="Times New Roman" w:cs="Times New Roman"/>
          <w:b/>
          <w:bCs/>
          <w:caps/>
          <w:sz w:val="24"/>
          <w:szCs w:val="24"/>
          <w:lang w:eastAsia="lv-LV" w:bidi="lo-LA"/>
        </w:rPr>
        <w:t>LĒMUMS</w:t>
      </w:r>
    </w:p>
    <w:p w14:paraId="6172EE0A" w14:textId="77777777" w:rsidR="00FD13E4" w:rsidRPr="00FD13E4" w:rsidRDefault="00FD13E4" w:rsidP="00FD13E4">
      <w:pPr>
        <w:spacing w:after="0" w:line="240" w:lineRule="auto"/>
        <w:jc w:val="center"/>
        <w:rPr>
          <w:rFonts w:ascii="Times New Roman" w:eastAsia="Times New Roman" w:hAnsi="Times New Roman" w:cs="Times New Roman"/>
          <w:sz w:val="24"/>
          <w:szCs w:val="24"/>
          <w:lang w:eastAsia="lv-LV" w:bidi="lo-LA"/>
        </w:rPr>
      </w:pPr>
      <w:r w:rsidRPr="00FD13E4">
        <w:rPr>
          <w:rFonts w:ascii="Times New Roman" w:eastAsia="Times New Roman" w:hAnsi="Times New Roman" w:cs="Times New Roman"/>
          <w:sz w:val="24"/>
          <w:szCs w:val="24"/>
          <w:lang w:eastAsia="lv-LV" w:bidi="lo-LA"/>
        </w:rPr>
        <w:t>Madonā</w:t>
      </w:r>
    </w:p>
    <w:p w14:paraId="1122D086" w14:textId="77777777" w:rsidR="00FD13E4" w:rsidRPr="00FD13E4" w:rsidRDefault="00FD13E4" w:rsidP="00FD13E4">
      <w:pPr>
        <w:spacing w:after="0" w:line="240" w:lineRule="auto"/>
        <w:rPr>
          <w:rFonts w:ascii="Times New Roman" w:eastAsia="Times New Roman" w:hAnsi="Times New Roman" w:cs="Times New Roman"/>
          <w:sz w:val="24"/>
          <w:szCs w:val="24"/>
          <w:lang w:eastAsia="lv-LV" w:bidi="lo-LA"/>
        </w:rPr>
      </w:pPr>
    </w:p>
    <w:p w14:paraId="7FA664D1" w14:textId="317FFB6B" w:rsidR="00FD13E4" w:rsidRPr="00FD13E4" w:rsidRDefault="00FD13E4" w:rsidP="00FD13E4">
      <w:pPr>
        <w:spacing w:after="0" w:line="240" w:lineRule="auto"/>
        <w:jc w:val="both"/>
        <w:rPr>
          <w:rFonts w:ascii="Times New Roman" w:eastAsia="Arial Unicode MS" w:hAnsi="Times New Roman" w:cs="Times New Roman"/>
          <w:b/>
          <w:sz w:val="24"/>
          <w:szCs w:val="24"/>
          <w:lang w:eastAsia="lv-LV"/>
        </w:rPr>
      </w:pPr>
      <w:r w:rsidRPr="00FD13E4">
        <w:rPr>
          <w:rFonts w:ascii="Times New Roman" w:eastAsia="Arial Unicode MS" w:hAnsi="Times New Roman" w:cs="Times New Roman"/>
          <w:b/>
          <w:sz w:val="24"/>
          <w:szCs w:val="24"/>
          <w:lang w:eastAsia="lv-LV"/>
        </w:rPr>
        <w:t>2021.gada 21.septembrī</w:t>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t xml:space="preserve">            </w:t>
      </w:r>
      <w:r w:rsidRPr="00FD13E4">
        <w:rPr>
          <w:rFonts w:ascii="Times New Roman" w:eastAsia="Arial Unicode MS" w:hAnsi="Times New Roman" w:cs="Times New Roman"/>
          <w:b/>
          <w:sz w:val="24"/>
          <w:szCs w:val="24"/>
          <w:lang w:eastAsia="lv-LV"/>
        </w:rPr>
        <w:tab/>
        <w:t>Nr.1</w:t>
      </w:r>
      <w:r>
        <w:rPr>
          <w:rFonts w:ascii="Times New Roman" w:eastAsia="Arial Unicode MS" w:hAnsi="Times New Roman" w:cs="Times New Roman"/>
          <w:b/>
          <w:sz w:val="24"/>
          <w:szCs w:val="24"/>
          <w:lang w:eastAsia="lv-LV"/>
        </w:rPr>
        <w:t>90</w:t>
      </w:r>
    </w:p>
    <w:p w14:paraId="2D769259" w14:textId="5C9E690E" w:rsidR="00FD13E4" w:rsidRPr="00FD13E4" w:rsidRDefault="00FD13E4" w:rsidP="00FD13E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r>
      <w:r w:rsidRPr="00FD13E4">
        <w:rPr>
          <w:rFonts w:ascii="Times New Roman" w:eastAsia="Arial Unicode MS" w:hAnsi="Times New Roman" w:cs="Times New Roman"/>
          <w:b/>
          <w:sz w:val="24"/>
          <w:szCs w:val="24"/>
          <w:lang w:eastAsia="lv-LV"/>
        </w:rPr>
        <w:tab/>
        <w:t xml:space="preserve">      </w:t>
      </w:r>
      <w:r w:rsidRPr="00FD13E4">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6</w:t>
      </w:r>
      <w:r w:rsidRPr="00FD13E4">
        <w:rPr>
          <w:rFonts w:ascii="Times New Roman" w:eastAsia="Arial Unicode MS" w:hAnsi="Times New Roman" w:cs="Times New Roman"/>
          <w:sz w:val="24"/>
          <w:szCs w:val="24"/>
          <w:lang w:eastAsia="lv-LV"/>
        </w:rPr>
        <w:t>.p.)</w:t>
      </w:r>
    </w:p>
    <w:p w14:paraId="76B6E0D6" w14:textId="77777777" w:rsidR="00FD13E4" w:rsidRDefault="00FD13E4" w:rsidP="00FD13E4">
      <w:pPr>
        <w:spacing w:after="0" w:line="240" w:lineRule="auto"/>
        <w:jc w:val="both"/>
        <w:rPr>
          <w:rFonts w:ascii="Times New Roman" w:eastAsia="Arial Unicode MS" w:hAnsi="Times New Roman" w:cs="Times New Roman"/>
          <w:b/>
          <w:sz w:val="24"/>
          <w:szCs w:val="24"/>
          <w:u w:val="single"/>
          <w:lang w:eastAsia="lv-LV"/>
        </w:rPr>
      </w:pPr>
    </w:p>
    <w:p w14:paraId="0300CEC4" w14:textId="77777777" w:rsidR="00FD13E4" w:rsidRDefault="00FD13E4" w:rsidP="00FD13E4">
      <w:pPr>
        <w:spacing w:after="0" w:line="240" w:lineRule="auto"/>
        <w:jc w:val="both"/>
        <w:rPr>
          <w:rFonts w:ascii="Times New Roman" w:eastAsia="Arial Unicode MS" w:hAnsi="Times New Roman" w:cs="Times New Roman"/>
          <w:b/>
          <w:sz w:val="24"/>
          <w:szCs w:val="24"/>
          <w:u w:val="single"/>
          <w:lang w:eastAsia="lv-LV"/>
        </w:rPr>
      </w:pPr>
    </w:p>
    <w:p w14:paraId="2710D288" w14:textId="60DC6AF9" w:rsidR="00FD13E4" w:rsidRPr="00FD13E4" w:rsidRDefault="00FD13E4" w:rsidP="00FD13E4">
      <w:pPr>
        <w:spacing w:after="0" w:line="240" w:lineRule="auto"/>
        <w:jc w:val="both"/>
        <w:rPr>
          <w:rFonts w:ascii="Times New Roman" w:eastAsia="Arial Unicode MS" w:hAnsi="Times New Roman" w:cs="Times New Roman"/>
          <w:b/>
          <w:sz w:val="24"/>
          <w:szCs w:val="24"/>
          <w:lang w:eastAsia="lv-LV"/>
        </w:rPr>
      </w:pPr>
      <w:r w:rsidRPr="00FD13E4">
        <w:rPr>
          <w:rFonts w:ascii="Times New Roman" w:eastAsia="Arial Unicode MS" w:hAnsi="Times New Roman" w:cs="Times New Roman"/>
          <w:b/>
          <w:sz w:val="24"/>
          <w:szCs w:val="24"/>
          <w:lang w:eastAsia="lv-LV"/>
        </w:rPr>
        <w:t xml:space="preserve">Par pašvaldības nekustamā īpašuma - dzīvokļa īpašuma “Patkules māja”-3, Sarkaņu pagasts, Madonas novads, atsavināšanu </w:t>
      </w:r>
    </w:p>
    <w:p w14:paraId="79D91626" w14:textId="77777777" w:rsidR="00FD13E4" w:rsidRPr="00FD13E4" w:rsidRDefault="00FD13E4" w:rsidP="00FD13E4">
      <w:pPr>
        <w:spacing w:after="120" w:line="240" w:lineRule="auto"/>
        <w:rPr>
          <w:rFonts w:ascii="Times New Roman" w:eastAsia="Calibri" w:hAnsi="Times New Roman" w:cs="Times New Roman"/>
          <w:kern w:val="1"/>
          <w:sz w:val="24"/>
          <w:szCs w:val="24"/>
          <w:lang w:eastAsia="hi-IN" w:bidi="hi-IN"/>
        </w:rPr>
      </w:pPr>
    </w:p>
    <w:p w14:paraId="1833A346" w14:textId="27248362" w:rsidR="00FD13E4" w:rsidRPr="00FD13E4" w:rsidRDefault="00FD13E4" w:rsidP="00FD13E4">
      <w:pPr>
        <w:spacing w:after="0" w:line="240" w:lineRule="auto"/>
        <w:ind w:firstLine="720"/>
        <w:jc w:val="both"/>
        <w:rPr>
          <w:rFonts w:ascii="Times New Roman" w:eastAsia="Calibri" w:hAnsi="Times New Roman" w:cs="Times New Roman"/>
          <w:kern w:val="1"/>
          <w:sz w:val="24"/>
          <w:szCs w:val="24"/>
          <w:lang w:eastAsia="hi-IN" w:bidi="hi-IN"/>
        </w:rPr>
      </w:pPr>
      <w:r w:rsidRPr="00FD13E4">
        <w:rPr>
          <w:rFonts w:ascii="Times New Roman" w:eastAsia="Calibri" w:hAnsi="Times New Roman" w:cs="Times New Roman"/>
          <w:kern w:val="1"/>
          <w:sz w:val="24"/>
          <w:szCs w:val="24"/>
          <w:lang w:eastAsia="hi-IN" w:bidi="hi-IN"/>
        </w:rPr>
        <w:t xml:space="preserve">Madonas novada pašvaldības Sarkaņu pagasta pārvalde 2021.gada 2.martā ir saņēmusi īrnieces </w:t>
      </w:r>
      <w:r w:rsidR="00FC4183">
        <w:rPr>
          <w:rFonts w:ascii="Times New Roman" w:eastAsia="Calibri" w:hAnsi="Times New Roman" w:cs="Times New Roman"/>
          <w:kern w:val="1"/>
          <w:sz w:val="24"/>
          <w:szCs w:val="24"/>
          <w:lang w:eastAsia="hi-IN" w:bidi="hi-IN"/>
        </w:rPr>
        <w:t xml:space="preserve">[…] </w:t>
      </w:r>
      <w:r w:rsidRPr="00FD13E4">
        <w:rPr>
          <w:rFonts w:ascii="Times New Roman" w:eastAsia="Calibri" w:hAnsi="Times New Roman" w:cs="Times New Roman"/>
          <w:kern w:val="1"/>
          <w:sz w:val="24"/>
          <w:szCs w:val="24"/>
          <w:lang w:eastAsia="hi-IN" w:bidi="hi-IN"/>
        </w:rPr>
        <w:t>iesniegumu par dzīvokļa īpašuma “Patkules māja”-3, Sarkaņu pagastā atsavināšanu.</w:t>
      </w:r>
    </w:p>
    <w:p w14:paraId="100B6476" w14:textId="77777777" w:rsidR="00FD13E4" w:rsidRPr="00FD13E4" w:rsidRDefault="00FD13E4" w:rsidP="00FD13E4">
      <w:pPr>
        <w:widowControl w:val="0"/>
        <w:suppressAutoHyphens/>
        <w:spacing w:after="0" w:line="100" w:lineRule="atLeast"/>
        <w:ind w:firstLine="720"/>
        <w:jc w:val="both"/>
        <w:rPr>
          <w:rFonts w:ascii="Times New Roman" w:eastAsia="Times New Roman" w:hAnsi="Times New Roman" w:cs="Times New Roman"/>
          <w:sz w:val="24"/>
          <w:szCs w:val="24"/>
          <w:lang w:eastAsia="lv-LV"/>
        </w:rPr>
      </w:pPr>
      <w:r w:rsidRPr="00FD13E4">
        <w:rPr>
          <w:rFonts w:ascii="Times New Roman" w:eastAsia="Times New Roman" w:hAnsi="Times New Roman" w:cs="Times New Roman"/>
          <w:sz w:val="24"/>
          <w:szCs w:val="24"/>
          <w:lang w:eastAsia="lv-LV"/>
        </w:rPr>
        <w:t xml:space="preserve">2021. gada 29. jūlijā ir pieņemts Madonas novada pašvaldības domes lēmums Nr.79 (protokols Nr. 6, 20.p.) Par pašvaldības nekustamā īpašuma - dzīvokļa īpašuma “Patkules māja”-3, Biksēre, Sarkaņu pagasts, Madonas novads, nodošanu atsavināšanai. </w:t>
      </w:r>
    </w:p>
    <w:p w14:paraId="2019C6E8" w14:textId="77777777" w:rsidR="00FD13E4" w:rsidRPr="00FD13E4" w:rsidRDefault="00FD13E4" w:rsidP="00FD13E4">
      <w:pPr>
        <w:spacing w:after="0" w:line="240" w:lineRule="auto"/>
        <w:jc w:val="both"/>
        <w:rPr>
          <w:rFonts w:ascii="Times New Roman" w:eastAsia="Times New Roman" w:hAnsi="Times New Roman" w:cs="Times New Roman"/>
          <w:sz w:val="24"/>
          <w:szCs w:val="24"/>
          <w:lang w:eastAsia="lv-LV"/>
        </w:rPr>
      </w:pPr>
      <w:r w:rsidRPr="00FD13E4">
        <w:rPr>
          <w:rFonts w:ascii="Times New Roman" w:eastAsia="Times New Roman" w:hAnsi="Times New Roman" w:cs="Times New Roman"/>
          <w:sz w:val="24"/>
          <w:szCs w:val="24"/>
          <w:lang w:eastAsia="lv-LV"/>
        </w:rPr>
        <w:tab/>
      </w:r>
      <w:r w:rsidRPr="00FD13E4">
        <w:rPr>
          <w:rFonts w:ascii="Times New Roman" w:eastAsia="Calibri" w:hAnsi="Times New Roman" w:cs="Times New Roman"/>
          <w:sz w:val="24"/>
          <w:szCs w:val="24"/>
          <w:lang w:eastAsia="lv-LV"/>
        </w:rPr>
        <w:t>Nekustamais īpašums ar adresi “Patkules māja”-3, Sarkaņu pagasts, Madonas novads (kadastra Nr.7090 900 0150), ir Madonas novada pašvaldībai piederošs nekustamais īpašums, reģistrēts Sarkaņu pagasta zemesgrāmatu nodalījumā ar Nr.1000005780413, kas sastāv no dzīvokļa Nr.3 (kadastra apzīmējums 7090 008  0095001 003) 45,5 kv.m platībā, kopīpašuma 455/952 domājamās daļas no būvēm ar kadastra apzīmējumu 7090 008 0095 001; 7090 008 0095 002; 7090 008 0095 003  un zemes (kadastra apzīmējums 7090 004 0295).</w:t>
      </w:r>
    </w:p>
    <w:p w14:paraId="17F06310" w14:textId="77777777" w:rsidR="00FD13E4" w:rsidRPr="00FD13E4" w:rsidRDefault="00FD13E4" w:rsidP="00FD13E4">
      <w:pPr>
        <w:spacing w:after="0" w:line="240" w:lineRule="auto"/>
        <w:ind w:firstLine="720"/>
        <w:jc w:val="both"/>
        <w:rPr>
          <w:rFonts w:ascii="Times New Roman" w:eastAsia="Times New Roman" w:hAnsi="Times New Roman" w:cs="Times New Roman"/>
          <w:sz w:val="24"/>
          <w:szCs w:val="24"/>
          <w:lang w:eastAsia="lv-LV"/>
        </w:rPr>
      </w:pPr>
      <w:r w:rsidRPr="00FD13E4">
        <w:rPr>
          <w:rFonts w:ascii="Times New Roman" w:eastAsia="Times New Roman" w:hAnsi="Times New Roman" w:cs="Times New Roman"/>
          <w:sz w:val="24"/>
          <w:szCs w:val="24"/>
          <w:lang w:eastAsia="lv-LV"/>
        </w:rPr>
        <w:t>2021.gada 25. augustā dzīvokļa īpašuma novērtēšanu ir veicis SIA “Eiroeksperts”, reģistrācijas Nr.40003650352 (</w:t>
      </w:r>
      <w:r w:rsidRPr="00FD13E4">
        <w:rPr>
          <w:rFonts w:ascii="Times New Roman" w:eastAsia="Calibri" w:hAnsi="Times New Roman" w:cs="Times New Roman"/>
          <w:sz w:val="24"/>
          <w:szCs w:val="24"/>
        </w:rPr>
        <w:t>LĪVA profesionālās kvalifikācijas sertifikāts Nr.1 un LĪVA Kompetences uzraudzības biroja izsniegts sertifikāts nekustamā īpašuma vērtēšanai Nr.1</w:t>
      </w:r>
      <w:r w:rsidRPr="00FD13E4">
        <w:rPr>
          <w:rFonts w:ascii="Times New Roman" w:eastAsia="Times New Roman" w:hAnsi="Times New Roman" w:cs="Times New Roman"/>
          <w:sz w:val="24"/>
          <w:szCs w:val="24"/>
          <w:lang w:eastAsia="lv-LV"/>
        </w:rPr>
        <w:t>). Saskaņā ar nekustamā īpašuma novērtējumu dzīvokļa īpašuma tirgus vērtība 2021. gada 25.augustā ir EUR 3800,00 (trīs tūkstoši astoņi simti euro 00 centi).</w:t>
      </w:r>
    </w:p>
    <w:p w14:paraId="7C1519CD" w14:textId="77777777" w:rsidR="00FD13E4" w:rsidRPr="00FD13E4" w:rsidRDefault="00FD13E4" w:rsidP="00FD13E4">
      <w:pPr>
        <w:spacing w:after="0" w:line="240" w:lineRule="auto"/>
        <w:ind w:firstLine="720"/>
        <w:jc w:val="both"/>
        <w:rPr>
          <w:rFonts w:ascii="Times New Roman" w:eastAsia="Calibri" w:hAnsi="Times New Roman" w:cs="Times New Roman"/>
          <w:sz w:val="24"/>
          <w:szCs w:val="24"/>
        </w:rPr>
      </w:pPr>
      <w:r w:rsidRPr="00FD13E4">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8BC821" w14:textId="77777777" w:rsidR="00FD13E4" w:rsidRPr="00FD13E4" w:rsidRDefault="00FD13E4" w:rsidP="00FD13E4">
      <w:pPr>
        <w:spacing w:after="0" w:line="240" w:lineRule="auto"/>
        <w:ind w:firstLine="720"/>
        <w:jc w:val="both"/>
        <w:rPr>
          <w:rFonts w:ascii="Times New Roman" w:eastAsia="Calibri" w:hAnsi="Times New Roman" w:cs="Times New Roman"/>
          <w:sz w:val="24"/>
          <w:szCs w:val="24"/>
          <w:lang w:eastAsia="lv-LV"/>
        </w:rPr>
      </w:pPr>
      <w:r w:rsidRPr="00FD13E4">
        <w:rPr>
          <w:rFonts w:ascii="Times New Roman" w:eastAsia="Calibri" w:hAnsi="Times New Roman" w:cs="Times New Roman"/>
          <w:sz w:val="24"/>
          <w:szCs w:val="24"/>
        </w:rPr>
        <w:lastRenderedPageBreak/>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FD13E4">
        <w:rPr>
          <w:rFonts w:ascii="Times New Roman" w:eastAsia="Times New Roman" w:hAnsi="Times New Roman" w:cs="Times New Roman"/>
          <w:i/>
          <w:iCs/>
          <w:sz w:val="24"/>
          <w:szCs w:val="24"/>
          <w:lang w:eastAsia="lv-LV"/>
        </w:rPr>
        <w:t xml:space="preserve"> </w:t>
      </w:r>
    </w:p>
    <w:p w14:paraId="1D89812B" w14:textId="4E3ACA28" w:rsidR="00FD13E4" w:rsidRPr="00FD13E4" w:rsidRDefault="00FD13E4" w:rsidP="00FD13E4">
      <w:pPr>
        <w:spacing w:after="0" w:line="240" w:lineRule="auto"/>
        <w:ind w:firstLine="720"/>
        <w:jc w:val="both"/>
        <w:rPr>
          <w:rFonts w:ascii="Times New Roman" w:eastAsia="Calibri" w:hAnsi="Times New Roman" w:cs="Times New Roman"/>
          <w:b/>
          <w:sz w:val="24"/>
          <w:szCs w:val="24"/>
          <w:lang w:eastAsia="lv-LV"/>
        </w:rPr>
      </w:pPr>
      <w:r w:rsidRPr="00FD13E4">
        <w:rPr>
          <w:rFonts w:ascii="Times New Roman" w:eastAsia="Calibri" w:hAnsi="Times New Roman" w:cs="Times New Roman"/>
          <w:sz w:val="24"/>
          <w:szCs w:val="24"/>
          <w:lang w:eastAsia="lv-LV"/>
        </w:rPr>
        <w:t xml:space="preserve">Noklausījusies sniegto informāciju, </w:t>
      </w:r>
      <w:r w:rsidRPr="00FD13E4">
        <w:rPr>
          <w:rFonts w:ascii="Times New Roman" w:eastAsia="Times New Roman" w:hAnsi="Times New Roman" w:cs="Times New Roman"/>
          <w:sz w:val="24"/>
          <w:szCs w:val="24"/>
          <w:lang w:eastAsia="lv-LV"/>
        </w:rPr>
        <w:t>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ņemot vērā 15.09.2021.</w:t>
      </w:r>
      <w:r w:rsidRPr="00FD13E4">
        <w:rPr>
          <w:rFonts w:ascii="Times New Roman" w:eastAsia="Calibri" w:hAnsi="Times New Roman" w:cs="Times New Roman"/>
          <w:sz w:val="24"/>
          <w:szCs w:val="24"/>
          <w:lang w:eastAsia="lv-LV"/>
        </w:rPr>
        <w:t xml:space="preserve"> Uzņēmējdarbības, teritoriālo un vides jautājumu komitejas</w:t>
      </w:r>
      <w:r w:rsidRPr="00FD13E4">
        <w:rPr>
          <w:rFonts w:ascii="Times New Roman" w:eastAsia="Times New Roman" w:hAnsi="Times New Roman" w:cs="Times New Roman"/>
          <w:sz w:val="24"/>
          <w:szCs w:val="24"/>
          <w:lang w:eastAsia="lv-LV"/>
        </w:rPr>
        <w:t xml:space="preserve">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7F25E2D4" w14:textId="77777777" w:rsidR="00FD13E4" w:rsidRPr="00FD13E4" w:rsidRDefault="00FD13E4" w:rsidP="00FD13E4">
      <w:pPr>
        <w:spacing w:after="0" w:line="240" w:lineRule="auto"/>
        <w:jc w:val="both"/>
        <w:rPr>
          <w:rFonts w:ascii="Times New Roman" w:eastAsia="Times New Roman" w:hAnsi="Times New Roman" w:cs="Times New Roman"/>
          <w:sz w:val="24"/>
          <w:szCs w:val="24"/>
          <w:lang w:eastAsia="lv-LV"/>
        </w:rPr>
      </w:pPr>
    </w:p>
    <w:p w14:paraId="6B7BEA74" w14:textId="77777777" w:rsidR="00FD13E4" w:rsidRPr="00FD13E4" w:rsidRDefault="00FD13E4" w:rsidP="00FD13E4">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FD13E4">
        <w:rPr>
          <w:rFonts w:ascii="Times New Roman" w:eastAsia="Times New Roman" w:hAnsi="Times New Roman" w:cs="Times New Roman"/>
          <w:sz w:val="24"/>
          <w:szCs w:val="24"/>
          <w:lang w:eastAsia="lv-LV"/>
        </w:rPr>
        <w:t xml:space="preserve">Apstiprināt dzīvokļa īpašuma ar adresi “Patkules māja”-3, Sarkaņu pagasts, Madonas novads, nosacīto (brīvo) cenu EUR 3800,00 (trīs tūkstoši astoņi simti euro 00 centi), nosakot, </w:t>
      </w:r>
      <w:r w:rsidRPr="00FD13E4">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0BDE65B2" w14:textId="3F44E305" w:rsidR="00FD13E4" w:rsidRPr="00FD13E4" w:rsidRDefault="00FD13E4" w:rsidP="00FD13E4">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FD13E4">
        <w:rPr>
          <w:rFonts w:ascii="Times New Roman" w:eastAsia="Times New Roman" w:hAnsi="Times New Roman" w:cs="Times New Roman"/>
          <w:sz w:val="24"/>
          <w:szCs w:val="24"/>
          <w:lang w:eastAsia="lv-LV"/>
        </w:rPr>
        <w:t xml:space="preserve">Uzdot </w:t>
      </w:r>
      <w:r w:rsidRPr="00FD13E4">
        <w:rPr>
          <w:rFonts w:ascii="Times New Roman" w:eastAsia="Times New Roman" w:hAnsi="Times New Roman" w:cs="Times New Roman"/>
          <w:sz w:val="24"/>
          <w:szCs w:val="24"/>
          <w:lang w:eastAsia="lo-LA" w:bidi="lo-LA"/>
        </w:rPr>
        <w:t xml:space="preserve">Nekustamā īpašuma pārvaldības un teritoriālās plānošanas nodaļai </w:t>
      </w:r>
      <w:r w:rsidRPr="00FD13E4">
        <w:rPr>
          <w:rFonts w:ascii="Times New Roman" w:eastAsia="Times New Roman" w:hAnsi="Times New Roman" w:cs="Times New Roman"/>
          <w:sz w:val="24"/>
          <w:szCs w:val="24"/>
          <w:lang w:eastAsia="lv-LV"/>
        </w:rPr>
        <w:t xml:space="preserve">nosūtīt īrniekam </w:t>
      </w:r>
      <w:r w:rsidR="00FC4183">
        <w:rPr>
          <w:rFonts w:ascii="Times New Roman" w:eastAsia="Times New Roman" w:hAnsi="Times New Roman" w:cs="Times New Roman"/>
          <w:sz w:val="24"/>
          <w:szCs w:val="24"/>
          <w:lang w:eastAsia="lv-LV"/>
        </w:rPr>
        <w:t xml:space="preserve">[…] </w:t>
      </w:r>
      <w:r w:rsidRPr="00FD13E4">
        <w:rPr>
          <w:rFonts w:ascii="Times New Roman" w:eastAsia="Times New Roman" w:hAnsi="Times New Roman" w:cs="Times New Roman"/>
          <w:sz w:val="24"/>
          <w:szCs w:val="24"/>
          <w:lang w:eastAsia="lv-LV"/>
        </w:rPr>
        <w:t xml:space="preserve">dzīvokļa īpašuma atsavināšanas paziņojumu normatīvajos aktos noteiktajā kārtībā. </w:t>
      </w:r>
    </w:p>
    <w:p w14:paraId="6DF01363" w14:textId="5FA3D726" w:rsid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2B81B0C3" w14:textId="77777777" w:rsidR="00FD13E4" w:rsidRP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2E249FDF" w14:textId="77777777" w:rsidR="00FD13E4" w:rsidRP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7B1CF427" w14:textId="77777777" w:rsidR="00FD13E4" w:rsidRDefault="00FD13E4" w:rsidP="00FD13E4">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4E15FEDC" w14:textId="2966E828" w:rsid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6BE50CA9" w14:textId="77777777" w:rsidR="00FD13E4" w:rsidRP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3CDF1763" w14:textId="77777777" w:rsidR="00FD13E4" w:rsidRPr="00FD13E4" w:rsidRDefault="00FD13E4" w:rsidP="00FD13E4">
      <w:pPr>
        <w:spacing w:after="0" w:line="240" w:lineRule="auto"/>
        <w:jc w:val="both"/>
        <w:rPr>
          <w:rFonts w:ascii="Times New Roman" w:eastAsia="Times New Roman" w:hAnsi="Times New Roman" w:cs="Times New Roman"/>
          <w:i/>
          <w:iCs/>
          <w:sz w:val="24"/>
          <w:szCs w:val="24"/>
          <w:lang w:eastAsia="lv-LV"/>
        </w:rPr>
      </w:pPr>
    </w:p>
    <w:p w14:paraId="55910628" w14:textId="77777777" w:rsidR="00FD13E4" w:rsidRPr="00FD13E4" w:rsidRDefault="00FD13E4" w:rsidP="00FD13E4">
      <w:pPr>
        <w:spacing w:after="0" w:line="240" w:lineRule="auto"/>
        <w:rPr>
          <w:rFonts w:ascii="Times New Roman" w:eastAsia="Times New Roman" w:hAnsi="Times New Roman" w:cs="Times New Roman"/>
          <w:sz w:val="28"/>
          <w:szCs w:val="24"/>
          <w:lang w:eastAsia="lv-LV"/>
        </w:rPr>
      </w:pPr>
      <w:r w:rsidRPr="00FD13E4">
        <w:rPr>
          <w:rFonts w:ascii="Times New Roman" w:eastAsia="Times New Roman" w:hAnsi="Times New Roman" w:cs="Times New Roman"/>
          <w:i/>
          <w:sz w:val="24"/>
          <w:szCs w:val="21"/>
          <w:lang w:eastAsia="lv-LV"/>
        </w:rPr>
        <w:t>Semjonova 27333721</w:t>
      </w:r>
    </w:p>
    <w:p w14:paraId="37A61A87" w14:textId="77777777" w:rsidR="00FD13E4" w:rsidRPr="00FD13E4" w:rsidRDefault="00FD13E4" w:rsidP="00FD13E4">
      <w:pPr>
        <w:spacing w:after="0" w:line="240" w:lineRule="auto"/>
        <w:rPr>
          <w:rFonts w:ascii="Times New Roman" w:eastAsia="Times New Roman" w:hAnsi="Times New Roman" w:cs="Times New Roman"/>
          <w:i/>
          <w:sz w:val="24"/>
          <w:szCs w:val="24"/>
          <w:lang w:eastAsia="lv-LV"/>
        </w:rPr>
      </w:pPr>
    </w:p>
    <w:p w14:paraId="7D0D46D2" w14:textId="77777777" w:rsidR="007E2E94" w:rsidRDefault="007E2E94"/>
    <w:sectPr w:rsidR="007E2E94" w:rsidSect="00FD13E4">
      <w:footerReference w:type="default" r:id="rId8"/>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96E3" w14:textId="77777777" w:rsidR="002E1454" w:rsidRDefault="002E1454" w:rsidP="00FD13E4">
      <w:pPr>
        <w:spacing w:after="0" w:line="240" w:lineRule="auto"/>
      </w:pPr>
      <w:r>
        <w:separator/>
      </w:r>
    </w:p>
  </w:endnote>
  <w:endnote w:type="continuationSeparator" w:id="0">
    <w:p w14:paraId="73BF1B87" w14:textId="77777777" w:rsidR="002E1454" w:rsidRDefault="002E1454" w:rsidP="00FD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373940"/>
      <w:docPartObj>
        <w:docPartGallery w:val="Page Numbers (Bottom of Page)"/>
        <w:docPartUnique/>
      </w:docPartObj>
    </w:sdtPr>
    <w:sdtEndPr/>
    <w:sdtContent>
      <w:p w14:paraId="76B2A334" w14:textId="368D64BE" w:rsidR="00FD13E4" w:rsidRDefault="00FD13E4">
        <w:pPr>
          <w:pStyle w:val="Kjene"/>
          <w:jc w:val="center"/>
        </w:pPr>
        <w:r>
          <w:fldChar w:fldCharType="begin"/>
        </w:r>
        <w:r>
          <w:instrText>PAGE   \* MERGEFORMAT</w:instrText>
        </w:r>
        <w:r>
          <w:fldChar w:fldCharType="separate"/>
        </w:r>
        <w:r>
          <w:t>2</w:t>
        </w:r>
        <w:r>
          <w:fldChar w:fldCharType="end"/>
        </w:r>
      </w:p>
    </w:sdtContent>
  </w:sdt>
  <w:p w14:paraId="15C1F50E" w14:textId="77777777" w:rsidR="008D216B" w:rsidRDefault="002E14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6C35" w14:textId="77777777" w:rsidR="002E1454" w:rsidRDefault="002E1454" w:rsidP="00FD13E4">
      <w:pPr>
        <w:spacing w:after="0" w:line="240" w:lineRule="auto"/>
      </w:pPr>
      <w:r>
        <w:separator/>
      </w:r>
    </w:p>
  </w:footnote>
  <w:footnote w:type="continuationSeparator" w:id="0">
    <w:p w14:paraId="2B69A36F" w14:textId="77777777" w:rsidR="002E1454" w:rsidRDefault="002E1454" w:rsidP="00FD1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C0"/>
    <w:rsid w:val="002E1454"/>
    <w:rsid w:val="006247C0"/>
    <w:rsid w:val="00791892"/>
    <w:rsid w:val="007E2E94"/>
    <w:rsid w:val="00FC4183"/>
    <w:rsid w:val="00FD1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048B"/>
  <w15:chartTrackingRefBased/>
  <w15:docId w15:val="{81AECC96-6BF8-4BB2-97E8-DA445450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FD13E4"/>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FD13E4"/>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D13E4"/>
    <w:pPr>
      <w:ind w:left="720"/>
      <w:contextualSpacing/>
    </w:pPr>
  </w:style>
  <w:style w:type="paragraph" w:styleId="Galvene">
    <w:name w:val="header"/>
    <w:basedOn w:val="Parasts"/>
    <w:link w:val="GalveneRakstz"/>
    <w:uiPriority w:val="99"/>
    <w:unhideWhenUsed/>
    <w:rsid w:val="00FD13E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3296</Words>
  <Characters>1880</Characters>
  <Application>Microsoft Office Word</Application>
  <DocSecurity>0</DocSecurity>
  <Lines>15</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2021-09-22T10:14:00Z</dcterms:created>
  <dcterms:modified xsi:type="dcterms:W3CDTF">2021-09-28T08:50:00Z</dcterms:modified>
</cp:coreProperties>
</file>